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#150</w:t>
      </w:r>
      <w:r>
        <w:rPr>
          <w:b/>
          <w:i/>
          <w:sz w:val="24"/>
        </w:rPr>
        <w:t xml:space="preserve"> </w:t>
      </w:r>
      <w:r>
        <w:rPr>
          <w:b/>
          <w:i/>
          <w:sz w:val="28"/>
        </w:rPr>
        <w:tab/>
      </w:r>
      <w:r>
        <w:rPr>
          <w:b/>
          <w:i/>
          <w:sz w:val="28"/>
        </w:rPr>
        <w:t>S5-</w:t>
      </w:r>
      <w:r>
        <w:rPr>
          <w:b/>
          <w:i/>
          <w:sz w:val="28"/>
          <w:woUserID w:val="2"/>
        </w:rPr>
        <w:t>235556</w:t>
      </w:r>
    </w:p>
    <w:p>
      <w:pPr>
        <w:pStyle w:val="62"/>
        <w:rPr>
          <w:sz w:val="22"/>
          <w:szCs w:val="22"/>
        </w:rPr>
      </w:pPr>
      <w:r>
        <w:rPr>
          <w:sz w:val="24"/>
        </w:rPr>
        <w:t>Goteborg, Sweden, 21 - 25 August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28"/>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32.156</w:t>
            </w:r>
          </w:p>
        </w:tc>
        <w:tc>
          <w:tcPr>
            <w:tcW w:w="709" w:type="dxa"/>
          </w:tcPr>
          <w:p>
            <w:pPr>
              <w:pStyle w:val="128"/>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28"/>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b/>
                <w:sz w:val="28"/>
                <w:szCs w:val="20"/>
                <w:lang w:val="en-US" w:eastAsia="zh-CN"/>
              </w:rPr>
              <w:t>0074</w:t>
            </w:r>
          </w:p>
        </w:tc>
        <w:tc>
          <w:tcPr>
            <w:tcW w:w="709" w:type="dxa"/>
          </w:tcPr>
          <w:p>
            <w:pPr>
              <w:pStyle w:val="128"/>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28"/>
              <w:keepNext w:val="0"/>
              <w:keepLines w:val="0"/>
              <w:widowControl/>
              <w:suppressLineNumbers w:val="0"/>
              <w:spacing w:before="0" w:beforeAutospacing="0" w:after="0" w:afterAutospacing="0"/>
              <w:ind w:left="0" w:right="0"/>
              <w:jc w:val="center"/>
              <w:rPr>
                <w:rFonts w:hint="eastAsia" w:eastAsia="宋体"/>
                <w:b/>
                <w:sz w:val="20"/>
                <w:szCs w:val="20"/>
                <w:lang w:val="en-US" w:eastAsia="zh-CN"/>
              </w:rPr>
            </w:pPr>
            <w:r>
              <w:rPr>
                <w:rFonts w:hint="eastAsia" w:eastAsia="宋体"/>
                <w:b/>
                <w:sz w:val="28"/>
                <w:szCs w:val="20"/>
                <w:lang w:val="en-US" w:eastAsia="zh-CN"/>
              </w:rPr>
              <w:t>-</w:t>
            </w:r>
          </w:p>
        </w:tc>
        <w:tc>
          <w:tcPr>
            <w:tcW w:w="2410" w:type="dxa"/>
          </w:tcPr>
          <w:p>
            <w:pPr>
              <w:pStyle w:val="128"/>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128"/>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18.2.2</w:t>
            </w:r>
          </w:p>
        </w:tc>
        <w:tc>
          <w:tcPr>
            <w:tcW w:w="143" w:type="dxa"/>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92"/>
                <w:rFonts w:hint="default" w:cs="Arial"/>
                <w:b/>
                <w:i/>
                <w:color w:val="FF0000"/>
                <w:sz w:val="20"/>
                <w:szCs w:val="20"/>
              </w:rPr>
              <w:t>HE</w:t>
            </w:r>
            <w:bookmarkStart w:id="0" w:name="_Hlt497126619"/>
            <w:r>
              <w:rPr>
                <w:rStyle w:val="92"/>
                <w:rFonts w:hint="default" w:cs="Arial"/>
                <w:b/>
                <w:i/>
                <w:color w:val="FF0000"/>
                <w:sz w:val="20"/>
                <w:szCs w:val="20"/>
              </w:rPr>
              <w:t>L</w:t>
            </w:r>
            <w:bookmarkEnd w:id="0"/>
            <w:r>
              <w:rPr>
                <w:rStyle w:val="92"/>
                <w:rFonts w:hint="default" w:cs="Arial"/>
                <w:b/>
                <w:i/>
                <w:color w:val="FF0000"/>
                <w:sz w:val="20"/>
                <w:szCs w:val="20"/>
              </w:rPr>
              <w:t>P</w:t>
            </w:r>
            <w:r>
              <w:rPr>
                <w:rStyle w:val="92"/>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91"/>
                <w:rFonts w:hint="default" w:cs="Arial"/>
                <w:i/>
                <w:sz w:val="20"/>
                <w:szCs w:val="20"/>
              </w:rPr>
              <w:t>http://www.3gpp.org/Change-Requests</w:t>
            </w:r>
            <w:r>
              <w:rPr>
                <w:rStyle w:val="92"/>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28"/>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28"/>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28"/>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2126" w:type="dxa"/>
          </w:tcPr>
          <w:p>
            <w:pPr>
              <w:pStyle w:val="128"/>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bookmarkStart w:id="1" w:name="OLE_LINK1"/>
            <w:r>
              <w:rPr>
                <w:rFonts w:hint="eastAsia"/>
                <w:b/>
                <w:caps/>
                <w:sz w:val="20"/>
                <w:szCs w:val="20"/>
                <w:lang w:eastAsia="zh-CN"/>
              </w:rPr>
              <w:t>X</w:t>
            </w:r>
            <w:bookmarkEnd w:id="1"/>
          </w:p>
        </w:tc>
        <w:tc>
          <w:tcPr>
            <w:tcW w:w="1418" w:type="dxa"/>
            <w:tcBorders>
              <w:left w:val="nil"/>
            </w:tcBorders>
          </w:tcPr>
          <w:p>
            <w:pPr>
              <w:pStyle w:val="128"/>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bCs/>
                <w:caps/>
                <w:sz w:val="20"/>
                <w:szCs w:val="20"/>
              </w:rPr>
            </w:pPr>
            <w:r>
              <w:rPr>
                <w:rFonts w:hint="eastAsia"/>
                <w:b/>
                <w:caps/>
                <w:sz w:val="20"/>
                <w:szCs w:val="20"/>
                <w:lang w:eastAsia="zh-CN"/>
              </w:rPr>
              <w:t>X</w:t>
            </w:r>
          </w:p>
        </w:tc>
      </w:tr>
    </w:tbl>
    <w:p>
      <w:pPr>
        <w:rPr>
          <w:sz w:val="8"/>
          <w:szCs w:val="8"/>
        </w:rPr>
      </w:pPr>
    </w:p>
    <w:tbl>
      <w:tblPr>
        <w:tblStyle w:val="89"/>
        <w:tblW w:w="5000" w:type="pct"/>
        <w:tblInd w:w="0" w:type="dxa"/>
        <w:tblLayout w:type="autofit"/>
        <w:tblCellMar>
          <w:top w:w="0" w:type="dxa"/>
          <w:left w:w="42" w:type="dxa"/>
          <w:bottom w:w="0" w:type="dxa"/>
          <w:right w:w="42" w:type="dxa"/>
        </w:tblCellMar>
      </w:tblPr>
      <w:tblGrid>
        <w:gridCol w:w="1831"/>
        <w:gridCol w:w="857"/>
        <w:gridCol w:w="286"/>
        <w:gridCol w:w="286"/>
        <w:gridCol w:w="574"/>
        <w:gridCol w:w="1702"/>
        <w:gridCol w:w="579"/>
        <w:gridCol w:w="144"/>
        <w:gridCol w:w="288"/>
        <w:gridCol w:w="996"/>
        <w:gridCol w:w="2180"/>
      </w:tblGrid>
      <w:tr>
        <w:tblPrEx>
          <w:tblCellMar>
            <w:top w:w="0" w:type="dxa"/>
            <w:left w:w="42" w:type="dxa"/>
            <w:bottom w:w="0" w:type="dxa"/>
            <w:right w:w="42" w:type="dxa"/>
          </w:tblCellMar>
        </w:tblPrEx>
        <w:tc>
          <w:tcPr>
            <w:tcW w:w="5000" w:type="pct"/>
            <w:gridSpan w:val="11"/>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942" w:type="pct"/>
            <w:tcBorders>
              <w:top w:val="single" w:color="auto" w:sz="4" w:space="0"/>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4057" w:type="pct"/>
            <w:gridSpan w:val="10"/>
            <w:tcBorders>
              <w:top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default"/>
                <w:sz w:val="20"/>
                <w:szCs w:val="20"/>
              </w:rPr>
              <w:t>Rel-18 CR TS 32.156 Supplement the specification for establishing a relationship between &lt;&lt;dataType&gt;&gt; and model elements in UML class diagram</w:t>
            </w:r>
            <w:r>
              <w:rPr>
                <w:rFonts w:hint="eastAsia" w:ascii="Courier New" w:hAnsi="Courier New" w:eastAsia="等线" w:cs="Courier New"/>
                <w:sz w:val="20"/>
                <w:szCs w:val="18"/>
                <w:lang w:val="en-US" w:eastAsia="zh-CN"/>
              </w:rPr>
              <w:t xml:space="preserve">  </w:t>
            </w:r>
          </w:p>
        </w:tc>
      </w:tr>
      <w:tr>
        <w:tblPrEx>
          <w:tblCellMar>
            <w:top w:w="0" w:type="dxa"/>
            <w:left w:w="42" w:type="dxa"/>
            <w:bottom w:w="0" w:type="dxa"/>
            <w:right w:w="42" w:type="dxa"/>
          </w:tblCellMar>
        </w:tblPrEx>
        <w:tc>
          <w:tcPr>
            <w:tcW w:w="942" w:type="pct"/>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4057" w:type="pct"/>
            <w:gridSpan w:val="10"/>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942" w:type="pct"/>
            <w:tcBorders>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4057" w:type="pct"/>
            <w:gridSpan w:val="10"/>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lang w:val="en-US"/>
              </w:rPr>
            </w:pPr>
            <w:r>
              <w:rPr>
                <w:rFonts w:hint="default"/>
                <w:sz w:val="20"/>
                <w:szCs w:val="20"/>
                <w:lang w:val="en-US" w:eastAsia="zh-CN"/>
              </w:rPr>
              <w:t>China Mobile Com. Corporation</w:t>
            </w:r>
            <w:r>
              <w:rPr>
                <w:rFonts w:hint="eastAsia"/>
                <w:sz w:val="20"/>
                <w:szCs w:val="20"/>
                <w:lang w:val="en-US" w:eastAsia="zh-CN"/>
              </w:rPr>
              <w:t>,</w:t>
            </w:r>
          </w:p>
        </w:tc>
      </w:tr>
      <w:tr>
        <w:tblPrEx>
          <w:tblCellMar>
            <w:top w:w="0" w:type="dxa"/>
            <w:left w:w="42" w:type="dxa"/>
            <w:bottom w:w="0" w:type="dxa"/>
            <w:right w:w="42" w:type="dxa"/>
          </w:tblCellMar>
        </w:tblPrEx>
        <w:tc>
          <w:tcPr>
            <w:tcW w:w="942" w:type="pct"/>
            <w:tcBorders>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4057" w:type="pct"/>
            <w:gridSpan w:val="10"/>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S5</w:t>
            </w:r>
          </w:p>
        </w:tc>
      </w:tr>
      <w:tr>
        <w:tblPrEx>
          <w:tblCellMar>
            <w:top w:w="0" w:type="dxa"/>
            <w:left w:w="42" w:type="dxa"/>
            <w:bottom w:w="0" w:type="dxa"/>
            <w:right w:w="42" w:type="dxa"/>
          </w:tblCellMar>
        </w:tblPrEx>
        <w:tc>
          <w:tcPr>
            <w:tcW w:w="942" w:type="pct"/>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4057" w:type="pct"/>
            <w:gridSpan w:val="10"/>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942" w:type="pct"/>
            <w:tcBorders>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1905" w:type="pct"/>
            <w:gridSpan w:val="5"/>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woUserID w:val="2"/>
              </w:rPr>
            </w:pPr>
            <w:r>
              <w:rPr>
                <w:rFonts w:hint="default"/>
                <w:sz w:val="20"/>
                <w:szCs w:val="20"/>
                <w:woUserID w:val="2"/>
              </w:rPr>
              <w:t>TEI18</w:t>
            </w:r>
          </w:p>
        </w:tc>
        <w:tc>
          <w:tcPr>
            <w:tcW w:w="297" w:type="pct"/>
            <w:tcBorders>
              <w:left w:val="nil"/>
            </w:tcBorders>
          </w:tcPr>
          <w:p>
            <w:pPr>
              <w:pStyle w:val="128"/>
              <w:keepNext w:val="0"/>
              <w:keepLines w:val="0"/>
              <w:widowControl/>
              <w:suppressLineNumbers w:val="0"/>
              <w:spacing w:before="0" w:beforeAutospacing="0" w:after="0" w:afterAutospacing="0"/>
              <w:ind w:left="0" w:right="100"/>
              <w:rPr>
                <w:rFonts w:hint="default"/>
                <w:sz w:val="20"/>
                <w:szCs w:val="20"/>
              </w:rPr>
            </w:pPr>
          </w:p>
        </w:tc>
        <w:tc>
          <w:tcPr>
            <w:tcW w:w="734" w:type="pct"/>
            <w:gridSpan w:val="3"/>
            <w:tcBorders>
              <w:left w:val="nil"/>
            </w:tcBorders>
          </w:tcPr>
          <w:p>
            <w:pPr>
              <w:pStyle w:val="128"/>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1120" w:type="pct"/>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eastAsia="宋体"/>
                <w:sz w:val="20"/>
                <w:szCs w:val="20"/>
                <w:lang w:eastAsia="zh-CN"/>
                <w:woUserID w:val="2"/>
              </w:rPr>
            </w:pPr>
            <w:r>
              <w:rPr>
                <w:rFonts w:hint="default"/>
                <w:sz w:val="20"/>
                <w:szCs w:val="20"/>
              </w:rPr>
              <w:t>2023-</w:t>
            </w:r>
            <w:r>
              <w:rPr>
                <w:rFonts w:hint="eastAsia" w:eastAsia="宋体"/>
                <w:sz w:val="20"/>
                <w:szCs w:val="20"/>
                <w:lang w:val="en-US" w:eastAsia="zh-CN"/>
              </w:rPr>
              <w:t>08</w:t>
            </w:r>
            <w:r>
              <w:rPr>
                <w:rFonts w:hint="default"/>
                <w:sz w:val="20"/>
                <w:szCs w:val="20"/>
              </w:rPr>
              <w:t>-</w:t>
            </w:r>
            <w:r>
              <w:rPr>
                <w:rFonts w:hint="default"/>
                <w:sz w:val="20"/>
                <w:szCs w:val="20"/>
                <w:woUserID w:val="2"/>
              </w:rPr>
              <w:t>11</w:t>
            </w:r>
            <w:bookmarkStart w:id="5" w:name="_GoBack"/>
            <w:bookmarkEnd w:id="5"/>
          </w:p>
        </w:tc>
      </w:tr>
      <w:tr>
        <w:tblPrEx>
          <w:tblCellMar>
            <w:top w:w="0" w:type="dxa"/>
            <w:left w:w="42" w:type="dxa"/>
            <w:bottom w:w="0" w:type="dxa"/>
            <w:right w:w="42" w:type="dxa"/>
          </w:tblCellMar>
        </w:tblPrEx>
        <w:tc>
          <w:tcPr>
            <w:tcW w:w="942" w:type="pct"/>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1030" w:type="pct"/>
            <w:gridSpan w:val="4"/>
          </w:tcPr>
          <w:p>
            <w:pPr>
              <w:pStyle w:val="128"/>
              <w:keepNext w:val="0"/>
              <w:keepLines w:val="0"/>
              <w:widowControl/>
              <w:suppressLineNumbers w:val="0"/>
              <w:spacing w:before="0" w:beforeAutospacing="0" w:after="0" w:afterAutospacing="0"/>
              <w:ind w:left="0" w:right="0"/>
              <w:rPr>
                <w:rFonts w:hint="default"/>
                <w:sz w:val="8"/>
                <w:szCs w:val="8"/>
              </w:rPr>
            </w:pPr>
          </w:p>
        </w:tc>
        <w:tc>
          <w:tcPr>
            <w:tcW w:w="1172" w:type="pct"/>
            <w:gridSpan w:val="2"/>
          </w:tcPr>
          <w:p>
            <w:pPr>
              <w:pStyle w:val="128"/>
              <w:keepNext w:val="0"/>
              <w:keepLines w:val="0"/>
              <w:widowControl/>
              <w:suppressLineNumbers w:val="0"/>
              <w:spacing w:before="0" w:beforeAutospacing="0" w:after="0" w:afterAutospacing="0"/>
              <w:ind w:left="0" w:right="0"/>
              <w:rPr>
                <w:rFonts w:hint="default"/>
                <w:sz w:val="8"/>
                <w:szCs w:val="8"/>
              </w:rPr>
            </w:pPr>
          </w:p>
        </w:tc>
        <w:tc>
          <w:tcPr>
            <w:tcW w:w="734" w:type="pct"/>
            <w:gridSpan w:val="3"/>
          </w:tcPr>
          <w:p>
            <w:pPr>
              <w:pStyle w:val="128"/>
              <w:keepNext w:val="0"/>
              <w:keepLines w:val="0"/>
              <w:widowControl/>
              <w:suppressLineNumbers w:val="0"/>
              <w:spacing w:before="0" w:beforeAutospacing="0" w:after="0" w:afterAutospacing="0"/>
              <w:ind w:left="0" w:right="0"/>
              <w:rPr>
                <w:rFonts w:hint="default"/>
                <w:sz w:val="8"/>
                <w:szCs w:val="8"/>
              </w:rPr>
            </w:pPr>
          </w:p>
        </w:tc>
        <w:tc>
          <w:tcPr>
            <w:tcW w:w="1120" w:type="pct"/>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942" w:type="pct"/>
            <w:tcBorders>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440" w:type="pct"/>
            <w:shd w:val="pct30" w:color="FFFF00" w:fill="auto"/>
          </w:tcPr>
          <w:p>
            <w:pPr>
              <w:pStyle w:val="128"/>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C</w:t>
            </w:r>
          </w:p>
        </w:tc>
        <w:tc>
          <w:tcPr>
            <w:tcW w:w="1762" w:type="pct"/>
            <w:gridSpan w:val="5"/>
            <w:tcBorders>
              <w:left w:val="nil"/>
            </w:tcBorders>
          </w:tcPr>
          <w:p>
            <w:pPr>
              <w:pStyle w:val="128"/>
              <w:keepNext w:val="0"/>
              <w:keepLines w:val="0"/>
              <w:widowControl/>
              <w:suppressLineNumbers w:val="0"/>
              <w:spacing w:before="0" w:beforeAutospacing="0" w:after="0" w:afterAutospacing="0"/>
              <w:ind w:left="0" w:right="0"/>
              <w:rPr>
                <w:rFonts w:hint="default"/>
                <w:sz w:val="20"/>
                <w:szCs w:val="20"/>
              </w:rPr>
            </w:pPr>
          </w:p>
        </w:tc>
        <w:tc>
          <w:tcPr>
            <w:tcW w:w="734" w:type="pct"/>
            <w:gridSpan w:val="3"/>
            <w:tcBorders>
              <w:left w:val="nil"/>
            </w:tcBorders>
          </w:tcPr>
          <w:p>
            <w:pPr>
              <w:pStyle w:val="128"/>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1120" w:type="pct"/>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default"/>
                <w:sz w:val="20"/>
                <w:szCs w:val="20"/>
              </w:rPr>
              <w:t>Rel-</w:t>
            </w:r>
            <w:r>
              <w:rPr>
                <w:rFonts w:hint="eastAsia" w:eastAsia="宋体"/>
                <w:sz w:val="20"/>
                <w:szCs w:val="20"/>
                <w:lang w:val="en-US" w:eastAsia="zh-CN"/>
              </w:rPr>
              <w:t>18</w:t>
            </w:r>
          </w:p>
        </w:tc>
      </w:tr>
      <w:tr>
        <w:tblPrEx>
          <w:tblCellMar>
            <w:top w:w="0" w:type="dxa"/>
            <w:left w:w="42" w:type="dxa"/>
            <w:bottom w:w="0" w:type="dxa"/>
            <w:right w:w="42" w:type="dxa"/>
          </w:tblCellMar>
        </w:tblPrEx>
        <w:tc>
          <w:tcPr>
            <w:tcW w:w="942" w:type="pct"/>
            <w:tcBorders>
              <w:left w:val="single" w:color="auto" w:sz="4" w:space="0"/>
              <w:bottom w:val="single" w:color="auto" w:sz="4" w:space="0"/>
            </w:tcBorders>
          </w:tcPr>
          <w:p>
            <w:pPr>
              <w:pStyle w:val="128"/>
              <w:keepNext w:val="0"/>
              <w:keepLines w:val="0"/>
              <w:widowControl/>
              <w:suppressLineNumbers w:val="0"/>
              <w:spacing w:before="0" w:beforeAutospacing="0" w:after="0" w:afterAutospacing="0"/>
              <w:ind w:left="0" w:right="0"/>
              <w:rPr>
                <w:rFonts w:hint="default"/>
                <w:b/>
                <w:i/>
                <w:sz w:val="20"/>
                <w:szCs w:val="20"/>
              </w:rPr>
            </w:pPr>
          </w:p>
        </w:tc>
        <w:tc>
          <w:tcPr>
            <w:tcW w:w="2425" w:type="pct"/>
            <w:gridSpan w:val="8"/>
            <w:tcBorders>
              <w:bottom w:val="single" w:color="auto" w:sz="4" w:space="0"/>
            </w:tcBorders>
          </w:tcPr>
          <w:p>
            <w:pPr>
              <w:pStyle w:val="128"/>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28"/>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92"/>
                <w:rFonts w:hint="default"/>
                <w:sz w:val="18"/>
                <w:szCs w:val="20"/>
              </w:rPr>
              <w:t>TR 21.900</w:t>
            </w:r>
            <w:r>
              <w:rPr>
                <w:rStyle w:val="92"/>
                <w:rFonts w:hint="default"/>
                <w:sz w:val="18"/>
                <w:szCs w:val="20"/>
              </w:rPr>
              <w:fldChar w:fldCharType="end"/>
            </w:r>
            <w:r>
              <w:rPr>
                <w:rFonts w:hint="default"/>
                <w:sz w:val="18"/>
                <w:szCs w:val="20"/>
              </w:rPr>
              <w:t>.</w:t>
            </w:r>
          </w:p>
        </w:tc>
        <w:tc>
          <w:tcPr>
            <w:tcW w:w="1632" w:type="pct"/>
            <w:gridSpan w:val="2"/>
            <w:tcBorders>
              <w:bottom w:val="single" w:color="auto" w:sz="4" w:space="0"/>
              <w:right w:val="single" w:color="auto" w:sz="4" w:space="0"/>
            </w:tcBorders>
          </w:tcPr>
          <w:p>
            <w:pPr>
              <w:pStyle w:val="128"/>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Rel-15</w:t>
            </w:r>
            <w:r>
              <w:rPr>
                <w:rFonts w:hint="default"/>
                <w:i/>
                <w:sz w:val="18"/>
                <w:szCs w:val="20"/>
              </w:rPr>
              <w:tab/>
            </w:r>
            <w:r>
              <w:rPr>
                <w:rFonts w:hint="default"/>
                <w:i/>
                <w:sz w:val="18"/>
                <w:szCs w:val="20"/>
              </w:rPr>
              <w:t>(Release 15)</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tc>
      </w:tr>
      <w:tr>
        <w:tblPrEx>
          <w:tblCellMar>
            <w:top w:w="0" w:type="dxa"/>
            <w:left w:w="42" w:type="dxa"/>
            <w:bottom w:w="0" w:type="dxa"/>
            <w:right w:w="42" w:type="dxa"/>
          </w:tblCellMar>
        </w:tblPrEx>
        <w:tc>
          <w:tcPr>
            <w:tcW w:w="942" w:type="pct"/>
          </w:tcPr>
          <w:p>
            <w:pPr>
              <w:pStyle w:val="128"/>
              <w:keepNext w:val="0"/>
              <w:keepLines w:val="0"/>
              <w:widowControl/>
              <w:suppressLineNumbers w:val="0"/>
              <w:spacing w:before="0" w:beforeAutospacing="0" w:after="0" w:afterAutospacing="0"/>
              <w:ind w:left="0" w:right="0"/>
              <w:rPr>
                <w:rFonts w:hint="default"/>
                <w:b/>
                <w:i/>
                <w:sz w:val="8"/>
                <w:szCs w:val="8"/>
              </w:rPr>
            </w:pPr>
          </w:p>
        </w:tc>
        <w:tc>
          <w:tcPr>
            <w:tcW w:w="4057" w:type="pct"/>
            <w:gridSpan w:val="10"/>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2560" w:hRule="atLeast"/>
        </w:trPr>
        <w:tc>
          <w:tcPr>
            <w:tcW w:w="1383" w:type="pct"/>
            <w:gridSpan w:val="2"/>
            <w:tcBorders>
              <w:top w:val="single" w:color="auto" w:sz="4" w:space="0"/>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3616" w:type="pct"/>
            <w:gridSpan w:val="9"/>
            <w:tcBorders>
              <w:top w:val="single" w:color="auto" w:sz="4" w:space="0"/>
              <w:right w:val="single" w:color="auto" w:sz="4" w:space="0"/>
            </w:tcBorders>
            <w:shd w:val="pct30" w:color="FFFF00" w:fill="auto"/>
          </w:tcPr>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 xml:space="preserve">In the current version of 3GPP TS 32.156, there is a clear explanation and specification on how to use UML class diagrams to describe the relationship between classes (see 5.2 in 3GPP TS 32.156). However, there is no clear normative description in the current version of the relationship between &lt;&lt;dataType&gt;&gt; and other model elements or multiple &lt;&lt;dataType&gt;&gt;. </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sz w:val="20"/>
                <w:szCs w:val="20"/>
                <w:lang w:eastAsia="zh-CN"/>
              </w:rPr>
            </w:pPr>
            <w:r>
              <w:rPr>
                <w:rFonts w:hint="eastAsia" w:ascii="Arial" w:hAnsi="Arial" w:eastAsia="Times New Roman" w:cs="Times New Roman"/>
                <w:sz w:val="20"/>
                <w:szCs w:val="20"/>
                <w:lang w:val="en-US" w:eastAsia="zh-CN" w:bidi="ar-SA"/>
              </w:rPr>
              <w:t>Therefore, in view of the above problems, we propose to supplement the normative description of &lt;&lt;dataType&gt;&gt; in 5.3.4.1 of 3GPP TS 32.156</w:t>
            </w:r>
            <w:r>
              <w:rPr>
                <w:rFonts w:hint="eastAsia" w:ascii="Arial" w:hAnsi="Arial" w:cs="Times New Roman"/>
                <w:sz w:val="20"/>
                <w:szCs w:val="20"/>
                <w:lang w:val="en-US" w:eastAsia="zh-CN" w:bidi="ar-SA"/>
              </w:rPr>
              <w:t xml:space="preserve"> to ensure its standardization in practical use.</w:t>
            </w:r>
          </w:p>
        </w:tc>
      </w:tr>
      <w:tr>
        <w:tblPrEx>
          <w:tblCellMar>
            <w:top w:w="0" w:type="dxa"/>
            <w:left w:w="42" w:type="dxa"/>
            <w:bottom w:w="0" w:type="dxa"/>
            <w:right w:w="42" w:type="dxa"/>
          </w:tblCellMar>
        </w:tblPrEx>
        <w:tc>
          <w:tcPr>
            <w:tcW w:w="1383"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3616" w:type="pct"/>
            <w:gridSpan w:val="9"/>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383" w:type="pct"/>
            <w:gridSpan w:val="2"/>
            <w:tcBorders>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3616" w:type="pct"/>
            <w:gridSpan w:val="9"/>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This CR proposes to supplement the specification for establishing a relationship between &lt;&lt;dataType&gt;&gt; and model elements in 5.3.4.1</w:t>
            </w:r>
          </w:p>
        </w:tc>
      </w:tr>
      <w:tr>
        <w:tblPrEx>
          <w:tblCellMar>
            <w:top w:w="0" w:type="dxa"/>
            <w:left w:w="42" w:type="dxa"/>
            <w:bottom w:w="0" w:type="dxa"/>
            <w:right w:w="42" w:type="dxa"/>
          </w:tblCellMar>
        </w:tblPrEx>
        <w:tc>
          <w:tcPr>
            <w:tcW w:w="1383"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r>
              <w:rPr>
                <w:rFonts w:hint="default"/>
                <w:b/>
                <w:i/>
                <w:sz w:val="8"/>
                <w:szCs w:val="8"/>
              </w:rPr>
              <w:t>T</w:t>
            </w:r>
          </w:p>
        </w:tc>
        <w:tc>
          <w:tcPr>
            <w:tcW w:w="3616" w:type="pct"/>
            <w:gridSpan w:val="9"/>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383" w:type="pct"/>
            <w:gridSpan w:val="2"/>
            <w:tcBorders>
              <w:left w:val="single" w:color="auto" w:sz="4" w:space="0"/>
              <w:bottom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3616" w:type="pct"/>
            <w:gridSpan w:val="9"/>
            <w:tcBorders>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rPr>
            </w:pPr>
            <w:r>
              <w:rPr>
                <w:rFonts w:hint="default"/>
                <w:sz w:val="20"/>
                <w:szCs w:val="20"/>
                <w:lang w:val="en-US" w:eastAsia="zh-CN"/>
              </w:rPr>
              <w:t>When the relationship between &lt;&lt;dataType&gt;&gt; and model elements needs to be described in the UML diagram, there is no explicit usage specification.</w:t>
            </w:r>
          </w:p>
        </w:tc>
      </w:tr>
      <w:tr>
        <w:tblPrEx>
          <w:tblCellMar>
            <w:top w:w="0" w:type="dxa"/>
            <w:left w:w="42" w:type="dxa"/>
            <w:bottom w:w="0" w:type="dxa"/>
            <w:right w:w="42" w:type="dxa"/>
          </w:tblCellMar>
        </w:tblPrEx>
        <w:tc>
          <w:tcPr>
            <w:tcW w:w="1383" w:type="pct"/>
            <w:gridSpan w:val="2"/>
          </w:tcPr>
          <w:p>
            <w:pPr>
              <w:pStyle w:val="128"/>
              <w:keepNext w:val="0"/>
              <w:keepLines w:val="0"/>
              <w:widowControl/>
              <w:suppressLineNumbers w:val="0"/>
              <w:spacing w:before="0" w:beforeAutospacing="0" w:after="0" w:afterAutospacing="0"/>
              <w:ind w:left="0" w:right="0"/>
              <w:rPr>
                <w:rFonts w:hint="default"/>
                <w:b/>
                <w:i/>
                <w:sz w:val="8"/>
                <w:szCs w:val="8"/>
              </w:rPr>
            </w:pPr>
          </w:p>
        </w:tc>
        <w:tc>
          <w:tcPr>
            <w:tcW w:w="3616" w:type="pct"/>
            <w:gridSpan w:val="9"/>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383" w:type="pct"/>
            <w:gridSpan w:val="2"/>
            <w:tcBorders>
              <w:top w:val="single" w:color="auto" w:sz="4" w:space="0"/>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3616" w:type="pct"/>
            <w:gridSpan w:val="9"/>
            <w:tcBorders>
              <w:top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5.3.4.1</w:t>
            </w:r>
          </w:p>
        </w:tc>
      </w:tr>
      <w:tr>
        <w:tblPrEx>
          <w:tblCellMar>
            <w:top w:w="0" w:type="dxa"/>
            <w:left w:w="42" w:type="dxa"/>
            <w:bottom w:w="0" w:type="dxa"/>
            <w:right w:w="42" w:type="dxa"/>
          </w:tblCellMar>
        </w:tblPrEx>
        <w:tc>
          <w:tcPr>
            <w:tcW w:w="1383"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3616" w:type="pct"/>
            <w:gridSpan w:val="9"/>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383" w:type="pct"/>
            <w:gridSpan w:val="2"/>
            <w:tcBorders>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147" w:type="pct"/>
            <w:tcBorders>
              <w:top w:val="single" w:color="auto" w:sz="4" w:space="0"/>
              <w:left w:val="single" w:color="auto" w:sz="4" w:space="0"/>
              <w:bottom w:val="single" w:color="auto" w:sz="4" w:space="0"/>
            </w:tcBorders>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147" w:type="pct"/>
            <w:tcBorders>
              <w:top w:val="single" w:color="auto" w:sz="4" w:space="0"/>
              <w:left w:val="single" w:color="auto" w:sz="4" w:space="0"/>
              <w:bottom w:val="single" w:color="auto" w:sz="4" w:space="0"/>
              <w:right w:val="single" w:color="auto" w:sz="4" w:space="0"/>
            </w:tcBorders>
            <w:shd w:val="clear"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1542" w:type="pct"/>
            <w:gridSpan w:val="4"/>
          </w:tcPr>
          <w:p>
            <w:pPr>
              <w:pStyle w:val="128"/>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1780" w:type="pct"/>
            <w:gridSpan w:val="3"/>
            <w:tcBorders>
              <w:right w:val="single" w:color="auto" w:sz="4" w:space="0"/>
            </w:tcBorders>
            <w:shd w:val="clear" w:color="FFFF00" w:fill="auto"/>
          </w:tcPr>
          <w:p>
            <w:pPr>
              <w:pStyle w:val="128"/>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1383" w:type="pct"/>
            <w:gridSpan w:val="2"/>
            <w:tcBorders>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147" w:type="pct"/>
            <w:tcBorders>
              <w:top w:val="single" w:color="auto" w:sz="4" w:space="0"/>
              <w:left w:val="single" w:color="auto" w:sz="4" w:space="0"/>
              <w:bottom w:val="single" w:color="auto" w:sz="4"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147" w:type="pct"/>
            <w:tcBorders>
              <w:top w:val="single" w:color="auto" w:sz="4" w:space="0"/>
              <w:left w:val="single" w:color="auto" w:sz="4" w:space="0"/>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1542" w:type="pct"/>
            <w:gridSpan w:val="4"/>
          </w:tcPr>
          <w:p>
            <w:pPr>
              <w:pStyle w:val="128"/>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1780" w:type="pct"/>
            <w:gridSpan w:val="3"/>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1383"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147" w:type="pct"/>
            <w:tcBorders>
              <w:top w:val="single" w:color="auto" w:sz="4" w:space="0"/>
              <w:left w:val="single" w:color="auto" w:sz="4" w:space="0"/>
              <w:bottom w:val="single" w:color="auto" w:sz="4"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147" w:type="pct"/>
            <w:tcBorders>
              <w:top w:val="single" w:color="auto" w:sz="4" w:space="0"/>
              <w:left w:val="single" w:color="auto" w:sz="4" w:space="0"/>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1542" w:type="pct"/>
            <w:gridSpan w:val="4"/>
          </w:tcPr>
          <w:p>
            <w:pPr>
              <w:pStyle w:val="128"/>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1780" w:type="pct"/>
            <w:gridSpan w:val="3"/>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1383"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147" w:type="pct"/>
            <w:tcBorders>
              <w:top w:val="single" w:color="auto" w:sz="4" w:space="0"/>
              <w:left w:val="single" w:color="auto" w:sz="4" w:space="0"/>
              <w:bottom w:val="single" w:color="auto" w:sz="4"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147" w:type="pct"/>
            <w:tcBorders>
              <w:top w:val="single" w:color="auto" w:sz="4" w:space="0"/>
              <w:left w:val="single" w:color="auto" w:sz="4" w:space="0"/>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1542" w:type="pct"/>
            <w:gridSpan w:val="4"/>
          </w:tcPr>
          <w:p>
            <w:pPr>
              <w:pStyle w:val="128"/>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1780" w:type="pct"/>
            <w:gridSpan w:val="3"/>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1383"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20"/>
                <w:szCs w:val="20"/>
              </w:rPr>
            </w:pPr>
          </w:p>
        </w:tc>
        <w:tc>
          <w:tcPr>
            <w:tcW w:w="3616" w:type="pct"/>
            <w:gridSpan w:val="9"/>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1383" w:type="pct"/>
            <w:gridSpan w:val="2"/>
            <w:tcBorders>
              <w:left w:val="single" w:color="auto" w:sz="4" w:space="0"/>
              <w:bottom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3616" w:type="pct"/>
            <w:gridSpan w:val="9"/>
            <w:tcBorders>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1383" w:type="pct"/>
            <w:gridSpan w:val="2"/>
            <w:tcBorders>
              <w:top w:val="single" w:color="auto" w:sz="4" w:space="0"/>
              <w:bottom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3616" w:type="pct"/>
            <w:gridSpan w:val="9"/>
            <w:tcBorders>
              <w:top w:val="single" w:color="auto" w:sz="4" w:space="0"/>
              <w:bottom w:val="single" w:color="auto" w:sz="4" w:space="0"/>
            </w:tcBorders>
            <w:shd w:val="solid" w:color="FFFFFF" w:themeColor="background1" w:fill="auto"/>
          </w:tcPr>
          <w:p>
            <w:pPr>
              <w:pStyle w:val="128"/>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1383" w:type="pct"/>
            <w:gridSpan w:val="2"/>
            <w:tcBorders>
              <w:top w:val="single" w:color="auto" w:sz="4" w:space="0"/>
              <w:left w:val="single" w:color="auto" w:sz="4" w:space="0"/>
              <w:bottom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3616" w:type="pct"/>
            <w:gridSpan w:val="9"/>
            <w:tcBorders>
              <w:top w:val="single" w:color="auto" w:sz="4" w:space="0"/>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rPr>
            </w:pPr>
          </w:p>
        </w:tc>
      </w:tr>
    </w:tbl>
    <w:p>
      <w:pPr>
        <w:pStyle w:val="128"/>
        <w:spacing w:after="0"/>
        <w:rPr>
          <w:sz w:val="8"/>
          <w:szCs w:val="8"/>
        </w:rPr>
      </w:pP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keepNext w:val="0"/>
              <w:keepLines w:val="0"/>
              <w:widowControl/>
              <w:suppressLineNumbers w:val="0"/>
              <w:spacing w:before="0" w:beforeAutospacing="0" w:afterAutospacing="0"/>
              <w:ind w:left="0" w:right="0"/>
              <w:jc w:val="center"/>
              <w:rPr>
                <w:rFonts w:hint="default" w:ascii="Arial" w:hAnsi="Arial" w:cs="Arial"/>
                <w:b/>
                <w:bCs/>
                <w:sz w:val="28"/>
                <w:szCs w:val="28"/>
              </w:rPr>
            </w:pPr>
            <w:r>
              <w:rPr>
                <w:rFonts w:hint="default" w:ascii="Arial" w:hAnsi="Arial" w:cs="Arial"/>
                <w:b/>
                <w:bCs/>
                <w:sz w:val="28"/>
                <w:szCs w:val="28"/>
                <w:lang w:eastAsia="zh-CN"/>
              </w:rPr>
              <w:t>1</w:t>
            </w:r>
            <w:r>
              <w:rPr>
                <w:rFonts w:hint="default" w:ascii="Arial" w:hAnsi="Arial" w:cs="Arial"/>
                <w:b/>
                <w:bCs/>
                <w:sz w:val="28"/>
                <w:szCs w:val="28"/>
                <w:vertAlign w:val="superscript"/>
                <w:lang w:eastAsia="zh-CN"/>
              </w:rPr>
              <w:t>st</w:t>
            </w:r>
            <w:r>
              <w:rPr>
                <w:rFonts w:hint="default" w:ascii="Arial" w:hAnsi="Arial" w:cs="Arial"/>
                <w:b/>
                <w:bCs/>
                <w:sz w:val="28"/>
                <w:szCs w:val="28"/>
                <w:lang w:eastAsia="zh-CN"/>
              </w:rPr>
              <w:t xml:space="preserve"> Change</w:t>
            </w:r>
          </w:p>
        </w:tc>
      </w:tr>
    </w:tbl>
    <w:p/>
    <w:p>
      <w:pPr>
        <w:keepNext/>
        <w:keepLines/>
        <w:pBdr>
          <w:top w:val="none" w:color="auto" w:sz="0" w:space="0"/>
        </w:pBdr>
        <w:tabs>
          <w:tab w:val="left" w:pos="864"/>
        </w:tabs>
        <w:spacing w:before="120" w:after="180"/>
        <w:ind w:left="864" w:hanging="864"/>
        <w:outlineLvl w:val="3"/>
        <w:rPr>
          <w:rFonts w:ascii="Arial" w:hAnsi="Arial" w:eastAsia="Times New Roman" w:cs="Times New Roman"/>
          <w:sz w:val="24"/>
          <w:lang w:val="en-GB" w:eastAsia="en-US" w:bidi="ar-SA"/>
        </w:rPr>
      </w:pPr>
      <w:bookmarkStart w:id="2" w:name="_Toc122615083"/>
      <w:bookmarkStart w:id="3" w:name="_Toc106192967"/>
      <w:bookmarkStart w:id="4" w:name="_Toc138061471"/>
      <w:r>
        <w:rPr>
          <w:rFonts w:ascii="Arial" w:hAnsi="Arial" w:eastAsia="Times New Roman" w:cs="Times New Roman"/>
          <w:sz w:val="24"/>
          <w:lang w:val="en-GB" w:eastAsia="en-US" w:bidi="ar-SA"/>
        </w:rPr>
        <w:t>5.3.4.1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Description</w:t>
      </w:r>
      <w:bookmarkEnd w:id="2"/>
    </w:p>
    <w:p>
      <w:pPr>
        <w:rPr>
          <w:ins w:id="0" w:author="Haojie_Li" w:date="2023-08-11T11:33:58Z"/>
        </w:rPr>
      </w:pPr>
      <w:r>
        <w:t>It represents an attribute property type (see Table 5.2.1.1-1: Attribute properties).</w:t>
      </w:r>
    </w:p>
    <w:p>
      <w:ins w:id="1" w:author="Haojie_Li" w:date="2023-08-11T11:34:00Z">
        <w:r>
          <w:rPr>
            <w:rFonts w:hint="eastAsia"/>
          </w:rPr>
          <w:t>The &lt;&lt;dataType&gt;&gt; can establish relationships with other model elements in class diagram, and relationships can be established between multiple &lt;&lt;dataType&gt;&gt; . When there is a relationship between &lt;&lt;dataType&gt;&gt; and &lt;&lt;dataType&gt;&gt;, their roles</w:t>
        </w:r>
      </w:ins>
      <w:ins w:id="2" w:author="Haojie_Li" w:date="2023-08-11T12:51:32Z">
        <w:r>
          <w:rPr>
            <w:rFonts w:hint="eastAsia" w:eastAsia="宋体"/>
            <w:lang w:val="en-US" w:eastAsia="zh-CN"/>
          </w:rPr>
          <w:t xml:space="preserve"> </w:t>
        </w:r>
      </w:ins>
      <w:ins w:id="3" w:author="Haojie_Li" w:date="2023-08-11T12:51:17Z">
        <w:r>
          <w:rPr>
            <w:rFonts w:hint="eastAsia" w:eastAsia="宋体"/>
            <w:lang w:val="en-US" w:eastAsia="zh-CN"/>
          </w:rPr>
          <w:t>(</w:t>
        </w:r>
      </w:ins>
      <w:ins w:id="4" w:author="Haojie_Li" w:date="2023-08-11T12:51:18Z">
        <w:r>
          <w:rPr>
            <w:rFonts w:hint="eastAsia" w:eastAsia="宋体"/>
            <w:lang w:val="en-US" w:eastAsia="zh-CN"/>
          </w:rPr>
          <w:t>se</w:t>
        </w:r>
      </w:ins>
      <w:ins w:id="5" w:author="Haojie_Li" w:date="2023-08-11T12:51:19Z">
        <w:r>
          <w:rPr>
            <w:rFonts w:hint="eastAsia" w:eastAsia="宋体"/>
            <w:lang w:val="en-US" w:eastAsia="zh-CN"/>
          </w:rPr>
          <w:t xml:space="preserve">e </w:t>
        </w:r>
      </w:ins>
      <w:ins w:id="6" w:author="Haojie_Li" w:date="2023-08-11T12:51:20Z">
        <w:r>
          <w:rPr>
            <w:rFonts w:hint="eastAsia" w:eastAsia="宋体"/>
            <w:lang w:val="en-US" w:eastAsia="zh-CN"/>
          </w:rPr>
          <w:t>5.2</w:t>
        </w:r>
      </w:ins>
      <w:ins w:id="7" w:author="Haojie_Li" w:date="2023-08-11T12:51:21Z">
        <w:r>
          <w:rPr>
            <w:rFonts w:hint="eastAsia" w:eastAsia="宋体"/>
            <w:lang w:val="en-US" w:eastAsia="zh-CN"/>
          </w:rPr>
          <w:t>.9</w:t>
        </w:r>
      </w:ins>
      <w:ins w:id="8" w:author="Haojie_Li" w:date="2023-08-11T12:51:17Z">
        <w:r>
          <w:rPr>
            <w:rFonts w:hint="eastAsia" w:eastAsia="宋体"/>
            <w:lang w:val="en-US" w:eastAsia="zh-CN"/>
          </w:rPr>
          <w:t>)</w:t>
        </w:r>
      </w:ins>
      <w:ins w:id="9" w:author="Haojie_Li" w:date="2023-08-11T11:34:00Z">
        <w:r>
          <w:rPr>
            <w:rFonts w:hint="eastAsia"/>
          </w:rPr>
          <w:t xml:space="preserve"> can be marked on the connection line.</w:t>
        </w:r>
      </w:ins>
    </w:p>
    <w:p>
      <w:r>
        <w:t xml:space="preserve">This repertoire uses two kinds of data types: predefined data types and user-defined data types. The former is defined in subclause 5.4.3. The latter is defined by the specifications by authors using a &lt;&lt;dataType&gt;&gt; model element. </w:t>
      </w:r>
    </w:p>
    <w:p>
      <w:r>
        <w:t>The names of predefined data types and user-defined data types must be chosen such that they do not clash.</w:t>
      </w:r>
    </w:p>
    <w:p>
      <w:r>
        <w:t xml:space="preserve">User-defined data types can be simple types containing one or more values of a single simple type like integer or string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named attribute field itself can be of a simple or a structured data type. </w:t>
      </w:r>
    </w:p>
    <w:p>
      <w:r>
        <w:t>Structured data types could be embedded in any depth; however, they should not be embedded more than 3 levels, that is attribute-structuredType-structuredType-structuredType-simpletype. Reasons for avoiding deep embedding of structured types include: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Any construct that would be modeled by such deep structures can be modeled partly of fully by IOCs instead, thus avoiding deep structures.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It is difficult to understand deep structured types, it is hard to follow their "type containment".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Addressing in most contexts is based on Distinguished Names which does not allow addressing individual attribute fields.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Filtering of attribute fields becomes complex.</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Usability problems on any human interface (GUI, CLI).</w:t>
      </w:r>
    </w:p>
    <w:p>
      <w:r>
        <w:t xml:space="preserve">The user-defined data types support the modelling of structured data types (see &lt;&lt;dataType&gt;&gt; PLMNId in 5.3.4.2). </w:t>
      </w:r>
    </w:p>
    <w:p>
      <w:r>
        <w:t>When an attribute is of a structured data type, attribute properties may be declared on multiple levels: declared for the attribute as a whole and also for each attribute field. As an attributed field itself may be of a structured data type, properties may be declared on 2, 3 or more levels.</w:t>
      </w:r>
    </w:p>
    <w:p>
      <w:r>
        <w:t>"Documentation” is relevant on the attribute or attribute field level where it is declared. Properties "multiplicity", "isOrdered", "isUnique", "type" and "allowedValues" are always relevant and should be enforced on the attribute or attribute field level where they are declared.</w:t>
      </w:r>
    </w:p>
    <w:p>
      <w:r>
        <w:t>The property "supportQualifier" always applies to the level where it is declared. However, the support for a model element is always conditional on the support of the higher level. E.g., if an attribute is optional but one of its fields is mandatory, that means the field is mandatory if the attribute itself is supported; if the attribute is not supported this results in none of its fields(subparts) being supported.</w:t>
      </w:r>
    </w:p>
    <w:p>
      <w:r>
        <w:t>For properties "isReadable", "isWritable", "isNotifyable" the following rules apply: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False then the False value shall be used for the attribute and all its (descendant) attribute fields (if any).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True then the True value shall be used for the attribute and all its (descendant) attribute fields if and only if True is also specified for all of them.</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p>
    <w:p>
      <w:r>
        <w:t>For the "isInvariant" property the following rules apply: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True then the True value shall be used for the attribute and all its (descendant) attribute fields (if any).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False then the False value shall be used for the attribute and all its (descendant) attribute fields if and only if False is also specified for all of them.</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p>
    <w:p>
      <w:r>
        <w:t>If an attribute has the property lifecycleStatus=Deprecated all its fields are are also deprecated. If a data type has property lifecycleStatus=Deprecated all its fields (subparts) are also deprecated.</w:t>
      </w:r>
    </w:p>
    <w:p>
      <w:pPr>
        <w:rPr>
          <w:rFonts w:hint="eastAsia" w:eastAsia="宋体"/>
        </w:rPr>
      </w:pPr>
      <w:r>
        <w:t>When a user-defined or predefined data type is used to apply type (see property named type in Table 5.2.1.1</w:t>
      </w:r>
      <w:r>
        <w:noBreakHyphen/>
      </w:r>
      <w:r>
        <w:t>1: Attribute properties) information to a class attribute, the data type name is shown along with the class attribute. See Example below.</w:t>
      </w:r>
    </w:p>
    <w:bookmarkEnd w:id="3"/>
    <w:bookmarkEnd w:id="4"/>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keepNext w:val="0"/>
              <w:keepLines w:val="0"/>
              <w:widowControl/>
              <w:suppressLineNumbers w:val="0"/>
              <w:spacing w:before="0" w:beforeAutospacing="0" w:afterAutospacing="0"/>
              <w:ind w:left="0" w:right="0"/>
              <w:jc w:val="center"/>
              <w:rPr>
                <w:rFonts w:hint="default" w:ascii="Arial" w:hAnsi="Arial" w:cs="Arial"/>
                <w:b/>
                <w:bCs/>
                <w:sz w:val="28"/>
                <w:szCs w:val="28"/>
              </w:rPr>
            </w:pPr>
            <w:r>
              <w:rPr>
                <w:rFonts w:hint="default" w:ascii="Arial" w:hAnsi="Arial" w:cs="Arial"/>
                <w:b/>
                <w:bCs/>
                <w:sz w:val="28"/>
                <w:szCs w:val="28"/>
                <w:lang w:eastAsia="zh-CN"/>
              </w:rPr>
              <w:t>End of  Changes</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Consolas">
    <w:altName w:val="Noto Sans Mono"/>
    <w:panose1 w:val="020B0609020204030204"/>
    <w:charset w:val="00"/>
    <w:family w:val="modern"/>
    <w:pitch w:val="default"/>
    <w:sig w:usb0="00000000" w:usb1="00000000" w:usb2="00000001" w:usb3="00000000" w:csb0="6000019F" w:csb1="DFD70000"/>
  </w:font>
  <w:font w:name="Cambria">
    <w:altName w:val="Georgia"/>
    <w:panose1 w:val="02040503050406030204"/>
    <w:charset w:val="00"/>
    <w:family w:val="roman"/>
    <w:pitch w:val="default"/>
    <w:sig w:usb0="00000000" w:usb1="00000000" w:usb2="02000000" w:usb3="00000000" w:csb0="2000019F" w:csb1="00000000"/>
  </w:font>
  <w:font w:name="Tahoma">
    <w:altName w:val="Verdana"/>
    <w:panose1 w:val="020B0604030504040204"/>
    <w:charset w:val="00"/>
    <w:family w:val="swiss"/>
    <w:pitch w:val="default"/>
    <w:sig w:usb0="00000000" w:usb1="00000000" w:usb2="00000029" w:usb3="00000000" w:csb0="200101FF" w:csb1="20280000"/>
  </w:font>
  <w:font w:name="MS LineDraw">
    <w:altName w:val="Kingsoft Sign"/>
    <w:panose1 w:val="00000000000000000000"/>
    <w:charset w:val="02"/>
    <w:family w:val="modern"/>
    <w:pitch w:val="default"/>
    <w:sig w:usb0="00000000" w:usb1="00000000" w:usb2="00000000" w:usb3="00000000" w:csb0="00000000" w:csb1="00000000"/>
  </w:font>
  <w:font w:name="Monotype Sorts">
    <w:altName w:val="乐见体"/>
    <w:panose1 w:val="00000000000000000000"/>
    <w:charset w:val="02"/>
    <w:family w:val="auto"/>
    <w:pitch w:val="default"/>
    <w:sig w:usb0="00000000" w:usb1="00000000" w:usb2="00000000" w:usb3="00000000" w:csb0="80000000" w:csb1="00000000"/>
  </w:font>
  <w:font w:name="等线">
    <w:altName w:val="汉仪中等线KW"/>
    <w:panose1 w:val="02010600030101010101"/>
    <w:charset w:val="86"/>
    <w:family w:val="auto"/>
    <w:pitch w:val="default"/>
    <w:sig w:usb0="00000000" w:usb1="00000000" w:usb2="00000016" w:usb3="00000000" w:csb0="0004000F" w:csb1="00000000"/>
  </w:font>
  <w:font w:name="Noto Sans Mono">
    <w:panose1 w:val="020B0509040504020204"/>
    <w:charset w:val="00"/>
    <w:family w:val="auto"/>
    <w:pitch w:val="default"/>
    <w:sig w:usb0="E00002FF" w:usb1="400038DF" w:usb2="08000029" w:usb3="00100000" w:csb0="00000000" w:csb1="00000000"/>
  </w:font>
  <w:font w:name="Georgia">
    <w:panose1 w:val="02040502050405020303"/>
    <w:charset w:val="00"/>
    <w:family w:val="auto"/>
    <w:pitch w:val="default"/>
    <w:sig w:usb0="00000287" w:usb1="00000000" w:usb2="00000000" w:usb3="00000000" w:csb0="2000009F" w:csb1="00000000"/>
  </w:font>
  <w:font w:name="Verdana">
    <w:panose1 w:val="020B0604030504040204"/>
    <w:charset w:val="00"/>
    <w:family w:val="auto"/>
    <w:pitch w:val="default"/>
    <w:sig w:usb0="A10006FF" w:usb1="4000205B" w:usb2="00000010" w:usb3="00000000" w:csb0="2000019F" w:csb1="00000000"/>
  </w:font>
  <w:font w:name="Symbol">
    <w:altName w:val="Kingsoft Sign"/>
    <w:panose1 w:val="00000000000000000000"/>
    <w:charset w:val="00"/>
    <w:family w:val="auto"/>
    <w:pitch w:val="default"/>
    <w:sig w:usb0="00000000" w:usb1="00000000" w:usb2="00000000" w:usb3="00000000" w:csb0="00000000" w:csb1="00000000"/>
  </w:font>
  <w:font w:name="乐见体">
    <w:panose1 w:val="02020400000000000000"/>
    <w:charset w:val="86"/>
    <w:family w:val="auto"/>
    <w:pitch w:val="default"/>
    <w:sig w:usb0="80000003" w:usb1="08012000" w:usb2="00000012" w:usb3="00000000" w:csb0="00040001" w:csb1="00000000"/>
  </w:font>
  <w:font w:name="汉仪中等线KW">
    <w:panose1 w:val="01010104010101010101"/>
    <w:charset w:val="86"/>
    <w:family w:val="auto"/>
    <w:pitch w:val="default"/>
    <w:sig w:usb0="800002BF" w:usb1="004F7CFA"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ojie_Li">
    <w15:presenceInfo w15:providerId="None" w15:userId="Haojie_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43640F7"/>
    <w:rsid w:val="0ED22803"/>
    <w:rsid w:val="1C6F3FB9"/>
    <w:rsid w:val="223618E5"/>
    <w:rsid w:val="3E7726EC"/>
    <w:rsid w:val="47BEF6FC"/>
    <w:rsid w:val="4F195FF9"/>
    <w:rsid w:val="58761CCB"/>
    <w:rsid w:val="66BC1E9D"/>
    <w:rsid w:val="6CC21827"/>
    <w:rsid w:val="7DEF27B3"/>
    <w:rsid w:val="9FEB2862"/>
    <w:rsid w:val="BFFAC1A6"/>
    <w:rsid w:val="C7DF8DDB"/>
    <w:rsid w:val="D7F6609A"/>
    <w:rsid w:val="F2F7C3BA"/>
    <w:rsid w:val="F6F6027E"/>
    <w:rsid w:val="FCDE9072"/>
    <w:rsid w:val="FF7F1712"/>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data/weboffice/tmp/webword_200874779/E:\data\weboffice\tmp\webword_366385854\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Company>3GPP Support Team</Company>
  <Pages>1</Pages>
  <Words>185</Words>
  <Characters>1630</Characters>
  <Lines>1</Lines>
  <Paragraphs>1</Paragraphs>
  <TotalTime>108</TotalTime>
  <ScaleCrop>false</ScaleCrop>
  <LinksUpToDate>false</LinksUpToDate>
  <CharactersWithSpaces>1812</CharactersWithSpaces>
  <Application>WPS Office WWO_wpscloud_20230803195306-a7372b02e8</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2020-02-04T08:32:00Z</dcterms:created>
  <dc:creator>Michael Sanders, John M Meredith</dc:creator>
  <cp:lastModifiedBy>Haojie_Li</cp:lastModifiedBy>
  <cp:lastPrinted>2411-12-31T23:00:00Z</cp:lastPrinted>
  <dcterms:modified xsi:type="dcterms:W3CDTF">2023-08-11T16:48:17Z</dcterms:modified>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2052-0.0.0.0</vt:lpwstr>
  </property>
  <property fmtid="{D5CDD505-2E9C-101B-9397-08002B2CF9AE}" pid="22" name="ICV">
    <vt:lpwstr>B9AC393C98644E02830C8AD6D72C78E9</vt:lpwstr>
  </property>
</Properties>
</file>